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D6" w:rsidRPr="00057DD6" w:rsidRDefault="00057DD6">
      <w:pPr>
        <w:pStyle w:val="ConsPlusTitle"/>
        <w:jc w:val="center"/>
        <w:outlineLvl w:val="0"/>
      </w:pPr>
      <w:r w:rsidRPr="00057DD6">
        <w:t>ГОРОДСКАЯ ДУМА ГОРОДСКОГО ОКРУГА ГОРОД ПЕРВОМАЙСК</w:t>
      </w:r>
    </w:p>
    <w:p w:rsidR="00057DD6" w:rsidRPr="00057DD6" w:rsidRDefault="00057DD6">
      <w:pPr>
        <w:pStyle w:val="ConsPlusTitle"/>
        <w:jc w:val="center"/>
      </w:pPr>
      <w:r w:rsidRPr="00057DD6">
        <w:t>НИЖЕГОРОДСКОЙ ОБЛАСТИ</w:t>
      </w:r>
    </w:p>
    <w:p w:rsidR="00057DD6" w:rsidRPr="00057DD6" w:rsidRDefault="00057DD6">
      <w:pPr>
        <w:pStyle w:val="ConsPlusTitle"/>
        <w:jc w:val="center"/>
      </w:pPr>
    </w:p>
    <w:p w:rsidR="00057DD6" w:rsidRPr="00057DD6" w:rsidRDefault="00057DD6">
      <w:pPr>
        <w:pStyle w:val="ConsPlusTitle"/>
        <w:jc w:val="center"/>
      </w:pPr>
      <w:r w:rsidRPr="00057DD6">
        <w:t>РЕШЕНИЕ</w:t>
      </w:r>
    </w:p>
    <w:p w:rsidR="00057DD6" w:rsidRPr="00057DD6" w:rsidRDefault="00057DD6">
      <w:pPr>
        <w:pStyle w:val="ConsPlusTitle"/>
        <w:jc w:val="center"/>
      </w:pPr>
      <w:r w:rsidRPr="00057DD6">
        <w:t>от 10 октября 2013 г. N 147</w:t>
      </w:r>
    </w:p>
    <w:p w:rsidR="00057DD6" w:rsidRPr="00057DD6" w:rsidRDefault="00057DD6">
      <w:pPr>
        <w:pStyle w:val="ConsPlusTitle"/>
        <w:jc w:val="center"/>
      </w:pPr>
    </w:p>
    <w:p w:rsidR="00057DD6" w:rsidRPr="00057DD6" w:rsidRDefault="00057DD6">
      <w:pPr>
        <w:pStyle w:val="ConsPlusTitle"/>
        <w:jc w:val="center"/>
      </w:pPr>
      <w:bookmarkStart w:id="0" w:name="_GoBack"/>
      <w:r w:rsidRPr="00057DD6">
        <w:t>О ВВЕДЕНИИ В ДЕЙСТВИЕ СИСТЕМЫ НАЛОГООБЛОЖЕНИЯ В ВИДЕ</w:t>
      </w:r>
    </w:p>
    <w:p w:rsidR="00057DD6" w:rsidRPr="00057DD6" w:rsidRDefault="00057DD6">
      <w:pPr>
        <w:pStyle w:val="ConsPlusTitle"/>
        <w:jc w:val="center"/>
      </w:pPr>
      <w:r w:rsidRPr="00057DD6">
        <w:t>ЕДИНОГО НАЛОГА НА ВМЕНЕННЫЙ ДОХОД ДЛЯ ОТДЕЛЬНЫХ ВИДОВ</w:t>
      </w:r>
    </w:p>
    <w:p w:rsidR="00057DD6" w:rsidRPr="00057DD6" w:rsidRDefault="00057DD6">
      <w:pPr>
        <w:pStyle w:val="ConsPlusTitle"/>
        <w:jc w:val="center"/>
      </w:pPr>
      <w:r w:rsidRPr="00057DD6">
        <w:t>ДЕЯТЕЛЬНОСТИ НА ТЕРРИТОРИИ ГОРОДСКОГО ОКРУГА</w:t>
      </w:r>
    </w:p>
    <w:p w:rsidR="00057DD6" w:rsidRPr="00057DD6" w:rsidRDefault="00057DD6">
      <w:pPr>
        <w:pStyle w:val="ConsPlusTitle"/>
        <w:jc w:val="center"/>
      </w:pPr>
      <w:r w:rsidRPr="00057DD6">
        <w:t>ГОРОД ПЕРВОМАЙСК НИЖЕГОРОДСКОЙ ОБЛАСТИ</w:t>
      </w:r>
    </w:p>
    <w:bookmarkEnd w:id="0"/>
    <w:p w:rsidR="00057DD6" w:rsidRPr="00057DD6" w:rsidRDefault="00057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7DD6" w:rsidRPr="00057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7DD6" w:rsidRPr="00057DD6" w:rsidRDefault="00057DD6">
            <w:pPr>
              <w:pStyle w:val="ConsPlusNormal"/>
              <w:jc w:val="center"/>
            </w:pPr>
            <w:r w:rsidRPr="00057DD6">
              <w:t>Список изменяющих документов</w:t>
            </w:r>
          </w:p>
          <w:p w:rsidR="00057DD6" w:rsidRPr="00057DD6" w:rsidRDefault="00057DD6">
            <w:pPr>
              <w:pStyle w:val="ConsPlusNormal"/>
              <w:jc w:val="center"/>
            </w:pPr>
            <w:proofErr w:type="gramStart"/>
            <w:r w:rsidRPr="00057DD6">
              <w:t>(в ред. решений городской Думы городского округа г. Первомайск</w:t>
            </w:r>
            <w:proofErr w:type="gramEnd"/>
          </w:p>
          <w:p w:rsidR="00057DD6" w:rsidRPr="00057DD6" w:rsidRDefault="00057DD6">
            <w:pPr>
              <w:pStyle w:val="ConsPlusNormal"/>
              <w:jc w:val="center"/>
            </w:pPr>
            <w:r w:rsidRPr="00057DD6">
              <w:t xml:space="preserve">Нижегородской области от 16.10.2014 </w:t>
            </w:r>
            <w:hyperlink r:id="rId5" w:history="1">
              <w:r w:rsidRPr="00057DD6">
                <w:t>N 258</w:t>
              </w:r>
            </w:hyperlink>
            <w:r w:rsidRPr="00057DD6">
              <w:t xml:space="preserve">, от 30.09.2015 </w:t>
            </w:r>
            <w:hyperlink r:id="rId6" w:history="1">
              <w:r w:rsidRPr="00057DD6">
                <w:t>N 330</w:t>
              </w:r>
            </w:hyperlink>
            <w:r w:rsidRPr="00057DD6">
              <w:t>,</w:t>
            </w:r>
          </w:p>
          <w:p w:rsidR="00057DD6" w:rsidRPr="00057DD6" w:rsidRDefault="00057DD6">
            <w:pPr>
              <w:pStyle w:val="ConsPlusNormal"/>
              <w:jc w:val="center"/>
            </w:pPr>
            <w:r w:rsidRPr="00057DD6">
              <w:t xml:space="preserve">от 28.10.2016 </w:t>
            </w:r>
            <w:hyperlink r:id="rId7" w:history="1">
              <w:r w:rsidRPr="00057DD6">
                <w:t>N 420</w:t>
              </w:r>
            </w:hyperlink>
            <w:r w:rsidRPr="00057DD6">
              <w:t xml:space="preserve">, от 24.11.2017 </w:t>
            </w:r>
            <w:hyperlink r:id="rId8" w:history="1">
              <w:r w:rsidRPr="00057DD6">
                <w:t>N 38</w:t>
              </w:r>
            </w:hyperlink>
            <w:r w:rsidRPr="00057DD6">
              <w:t xml:space="preserve">, от 05.02.2018 </w:t>
            </w:r>
            <w:hyperlink r:id="rId9" w:history="1">
              <w:r w:rsidRPr="00057DD6">
                <w:t>N 54</w:t>
              </w:r>
            </w:hyperlink>
            <w:r w:rsidRPr="00057DD6">
              <w:t>,</w:t>
            </w:r>
          </w:p>
          <w:p w:rsidR="00057DD6" w:rsidRPr="00057DD6" w:rsidRDefault="00057DD6">
            <w:pPr>
              <w:pStyle w:val="ConsPlusNormal"/>
              <w:jc w:val="center"/>
            </w:pPr>
            <w:r w:rsidRPr="00057DD6">
              <w:t xml:space="preserve">от 23.08.2018 </w:t>
            </w:r>
            <w:hyperlink r:id="rId10" w:history="1">
              <w:r w:rsidRPr="00057DD6">
                <w:t>N 107</w:t>
              </w:r>
            </w:hyperlink>
            <w:r w:rsidRPr="00057DD6">
              <w:t xml:space="preserve">, от 26.09.2019 </w:t>
            </w:r>
            <w:hyperlink r:id="rId11" w:history="1">
              <w:r w:rsidRPr="00057DD6">
                <w:t>N 191</w:t>
              </w:r>
            </w:hyperlink>
            <w:r w:rsidRPr="00057DD6">
              <w:t>)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  <w:r w:rsidRPr="00057DD6">
        <w:t xml:space="preserve">В соответствии со </w:t>
      </w:r>
      <w:hyperlink r:id="rId12" w:history="1">
        <w:r w:rsidRPr="00057DD6">
          <w:t>ст. 346.26</w:t>
        </w:r>
      </w:hyperlink>
      <w:r w:rsidRPr="00057DD6">
        <w:t xml:space="preserve"> Налогового кодекса Российской Федерации городская Дума городского округа город Первомайск Нижегородской области решила: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 xml:space="preserve">1. Утвердить прилагаемые </w:t>
      </w:r>
      <w:hyperlink w:anchor="P43" w:history="1">
        <w:r w:rsidRPr="00057DD6">
          <w:t>виды предпринимательской деятельности</w:t>
        </w:r>
      </w:hyperlink>
      <w:r w:rsidRPr="00057DD6">
        <w:t>, в отношении которых вводится единый налог на вмененный доход для отдельных видов деятельности на территории городского округа город Первомайск Нижегородской области.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 xml:space="preserve">2. Утвердить прилагаемые </w:t>
      </w:r>
      <w:hyperlink w:anchor="P76" w:history="1">
        <w:r w:rsidRPr="00057DD6">
          <w:t>значения корректирующего коэффициента К</w:t>
        </w:r>
        <w:proofErr w:type="gramStart"/>
        <w:r w:rsidRPr="00057DD6">
          <w:t>2</w:t>
        </w:r>
        <w:proofErr w:type="gramEnd"/>
      </w:hyperlink>
      <w:r w:rsidRPr="00057DD6">
        <w:t>, применяемого для расчета суммы единого налога на вмененный доход для отдельных видов деятельности на территории городского округа город Первомайск Нижегородской области.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3. Настоящее решение подлежит опубликованию в газете "Районный вестник" не позднее 30 ноября 2013 года.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4. Признать утратившими силу: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- решение Земского собрания Первомайского муниципального района Нижегородской области от 04.09.2008 N 365 "О введении в действие системы налогообложения в виде единого налога на вмененный доход для отдельных видов деятельности на территории Первомайского района";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- решение Земского собрания Первомайского муниципального района Нижегородской области от 30.08.2010 N 53 "О внесении изменений в решение Земского собрания Первомайского района от 04.09.2008 N 365";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- решение Земского собрания Первомайского муниципального района Нижегородской области от 16.03.2012 N 191 "О внесении изменения в решение Земского собрания Первомайского района от 04.09.2008 N 365".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5. Настоящее решение вступает в силу с 1 января 2014 года.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 xml:space="preserve">6. </w:t>
      </w:r>
      <w:proofErr w:type="gramStart"/>
      <w:r w:rsidRPr="00057DD6">
        <w:t>Контроль за</w:t>
      </w:r>
      <w:proofErr w:type="gramEnd"/>
      <w:r w:rsidRPr="00057DD6">
        <w:t xml:space="preserve"> исполнением настоящего решения возложить на комиссию по бюджетной, финансовой и налоговой политике городской Думы городского округа город Первомайск Нижегородской области.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jc w:val="right"/>
      </w:pPr>
      <w:r w:rsidRPr="00057DD6">
        <w:t>Глава местного самоуправления</w:t>
      </w:r>
    </w:p>
    <w:p w:rsidR="00057DD6" w:rsidRPr="00057DD6" w:rsidRDefault="00057DD6">
      <w:pPr>
        <w:pStyle w:val="ConsPlusNormal"/>
        <w:jc w:val="right"/>
      </w:pPr>
      <w:r w:rsidRPr="00057DD6">
        <w:t>городского округа город Первомайск</w:t>
      </w:r>
    </w:p>
    <w:p w:rsidR="00057DD6" w:rsidRPr="00057DD6" w:rsidRDefault="00057DD6">
      <w:pPr>
        <w:pStyle w:val="ConsPlusNormal"/>
        <w:jc w:val="right"/>
      </w:pPr>
      <w:r w:rsidRPr="00057DD6">
        <w:t>Нижегородской области</w:t>
      </w:r>
    </w:p>
    <w:p w:rsidR="00057DD6" w:rsidRPr="00057DD6" w:rsidRDefault="00057DD6">
      <w:pPr>
        <w:pStyle w:val="ConsPlusNormal"/>
        <w:jc w:val="right"/>
      </w:pPr>
      <w:r w:rsidRPr="00057DD6">
        <w:lastRenderedPageBreak/>
        <w:t>Е.А.ЛЕБЕДНОВА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jc w:val="right"/>
        <w:outlineLvl w:val="0"/>
      </w:pPr>
      <w:r w:rsidRPr="00057DD6">
        <w:t>Утверждены</w:t>
      </w:r>
    </w:p>
    <w:p w:rsidR="00057DD6" w:rsidRPr="00057DD6" w:rsidRDefault="00057DD6">
      <w:pPr>
        <w:pStyle w:val="ConsPlusNormal"/>
        <w:jc w:val="right"/>
      </w:pPr>
      <w:r w:rsidRPr="00057DD6">
        <w:t>решением городской Думы</w:t>
      </w:r>
    </w:p>
    <w:p w:rsidR="00057DD6" w:rsidRPr="00057DD6" w:rsidRDefault="00057DD6">
      <w:pPr>
        <w:pStyle w:val="ConsPlusNormal"/>
        <w:jc w:val="right"/>
      </w:pPr>
      <w:r w:rsidRPr="00057DD6">
        <w:t>городского округа город Первомайск</w:t>
      </w:r>
    </w:p>
    <w:p w:rsidR="00057DD6" w:rsidRPr="00057DD6" w:rsidRDefault="00057DD6">
      <w:pPr>
        <w:pStyle w:val="ConsPlusNormal"/>
        <w:jc w:val="right"/>
      </w:pPr>
      <w:r w:rsidRPr="00057DD6">
        <w:t>Нижегородской области</w:t>
      </w:r>
    </w:p>
    <w:p w:rsidR="00057DD6" w:rsidRPr="00057DD6" w:rsidRDefault="00057DD6">
      <w:pPr>
        <w:pStyle w:val="ConsPlusNormal"/>
        <w:jc w:val="right"/>
      </w:pPr>
      <w:r w:rsidRPr="00057DD6">
        <w:t>от 10.10.2013 N 147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jc w:val="center"/>
      </w:pPr>
      <w:bookmarkStart w:id="1" w:name="P43"/>
      <w:bookmarkEnd w:id="1"/>
      <w:r w:rsidRPr="00057DD6">
        <w:t>ВИДЫ ПРЕДПРИНИМАТЕЛЬСКОЙ ДЕЯТЕЛЬНОСТИ,</w:t>
      </w:r>
    </w:p>
    <w:p w:rsidR="00057DD6" w:rsidRPr="00057DD6" w:rsidRDefault="00057DD6">
      <w:pPr>
        <w:pStyle w:val="ConsPlusTitle"/>
        <w:jc w:val="center"/>
      </w:pPr>
      <w:r w:rsidRPr="00057DD6">
        <w:t xml:space="preserve">В </w:t>
      </w:r>
      <w:proofErr w:type="gramStart"/>
      <w:r w:rsidRPr="00057DD6">
        <w:t>ОТНОШЕНИИ</w:t>
      </w:r>
      <w:proofErr w:type="gramEnd"/>
      <w:r w:rsidRPr="00057DD6">
        <w:t xml:space="preserve"> КОТОРЫХ ВВОДИТСЯ ЕДИНЫЙ НАЛОГ НА ВМЕНЕННЫЙ</w:t>
      </w:r>
    </w:p>
    <w:p w:rsidR="00057DD6" w:rsidRPr="00057DD6" w:rsidRDefault="00057DD6">
      <w:pPr>
        <w:pStyle w:val="ConsPlusTitle"/>
        <w:jc w:val="center"/>
      </w:pPr>
      <w:r w:rsidRPr="00057DD6">
        <w:t>ДОХОД ДЛЯ ОТДЕЛЬНЫХ ВИДОВ ДЕЯТЕЛЬНОСТИ НА ТЕРРИТОРИИ</w:t>
      </w:r>
    </w:p>
    <w:p w:rsidR="00057DD6" w:rsidRPr="00057DD6" w:rsidRDefault="00057DD6">
      <w:pPr>
        <w:pStyle w:val="ConsPlusTitle"/>
        <w:jc w:val="center"/>
      </w:pPr>
      <w:r w:rsidRPr="00057DD6">
        <w:t>ГОРОДСКОГО ОКРУГА ГОРОД ПЕРВОМАЙСК НИЖЕГОРОДСКОЙ ОБЛАСТИ</w:t>
      </w:r>
    </w:p>
    <w:p w:rsidR="00057DD6" w:rsidRPr="00057DD6" w:rsidRDefault="00057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7DD6" w:rsidRPr="00057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7DD6" w:rsidRPr="00057DD6" w:rsidRDefault="00057DD6">
            <w:pPr>
              <w:pStyle w:val="ConsPlusNormal"/>
              <w:jc w:val="center"/>
            </w:pPr>
            <w:r w:rsidRPr="00057DD6">
              <w:t>Список изменяющих документов</w:t>
            </w:r>
          </w:p>
          <w:p w:rsidR="00057DD6" w:rsidRPr="00057DD6" w:rsidRDefault="00057DD6">
            <w:pPr>
              <w:pStyle w:val="ConsPlusNormal"/>
              <w:jc w:val="center"/>
            </w:pPr>
            <w:proofErr w:type="gramStart"/>
            <w:r w:rsidRPr="00057DD6">
              <w:t xml:space="preserve">(в ред. </w:t>
            </w:r>
            <w:hyperlink r:id="rId13" w:history="1">
              <w:r w:rsidRPr="00057DD6">
                <w:t>решения</w:t>
              </w:r>
            </w:hyperlink>
            <w:r w:rsidRPr="00057DD6">
              <w:t xml:space="preserve"> городской Думы городского округа г. Первомайск</w:t>
            </w:r>
            <w:proofErr w:type="gramEnd"/>
          </w:p>
          <w:p w:rsidR="00057DD6" w:rsidRPr="00057DD6" w:rsidRDefault="00057DD6">
            <w:pPr>
              <w:pStyle w:val="ConsPlusNormal"/>
              <w:jc w:val="center"/>
            </w:pPr>
            <w:proofErr w:type="gramStart"/>
            <w:r w:rsidRPr="00057DD6">
              <w:t>Нижегородской области от 05.02.2018 N 54)</w:t>
            </w:r>
            <w:proofErr w:type="gramEnd"/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  <w:r w:rsidRPr="00057DD6">
        <w:t>1. Оказание бытовых услуг.</w:t>
      </w:r>
    </w:p>
    <w:p w:rsidR="00057DD6" w:rsidRPr="00057DD6" w:rsidRDefault="00057DD6">
      <w:pPr>
        <w:pStyle w:val="ConsPlusNormal"/>
        <w:jc w:val="both"/>
      </w:pPr>
      <w:r w:rsidRPr="00057DD6">
        <w:t>(</w:t>
      </w:r>
      <w:proofErr w:type="gramStart"/>
      <w:r w:rsidRPr="00057DD6">
        <w:t>п</w:t>
      </w:r>
      <w:proofErr w:type="gramEnd"/>
      <w:r w:rsidRPr="00057DD6">
        <w:t xml:space="preserve">. 1 в ред. </w:t>
      </w:r>
      <w:hyperlink r:id="rId14" w:history="1">
        <w:r w:rsidRPr="00057DD6">
          <w:t>решения</w:t>
        </w:r>
      </w:hyperlink>
      <w:r w:rsidRPr="00057DD6">
        <w:t xml:space="preserve"> городской Думы городского округа г. Первомайск Нижегородской области от 05.02.2018 N 54)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2. Оказание ветеринарных услуг.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3. Оказание услуг по ремонту, техническому обслуживанию и мойке автомототранспортных средств.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10. Распространение наружной рекламы с использованием рекламных конструкций.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 xml:space="preserve">11. Размещение рекламы с использованием внешних и внутренних поверхностей </w:t>
      </w:r>
      <w:r w:rsidRPr="00057DD6">
        <w:lastRenderedPageBreak/>
        <w:t>транспортных средств.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057DD6" w:rsidRPr="00057DD6" w:rsidRDefault="00057DD6">
      <w:pPr>
        <w:pStyle w:val="ConsPlusNormal"/>
        <w:spacing w:before="220"/>
        <w:ind w:firstLine="540"/>
        <w:jc w:val="both"/>
      </w:pPr>
      <w:r w:rsidRPr="00057DD6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jc w:val="right"/>
        <w:outlineLvl w:val="0"/>
      </w:pPr>
      <w:r w:rsidRPr="00057DD6">
        <w:t>Утверждены</w:t>
      </w:r>
    </w:p>
    <w:p w:rsidR="00057DD6" w:rsidRPr="00057DD6" w:rsidRDefault="00057DD6">
      <w:pPr>
        <w:pStyle w:val="ConsPlusNormal"/>
        <w:jc w:val="right"/>
      </w:pPr>
      <w:r w:rsidRPr="00057DD6">
        <w:t>решением городской Думы</w:t>
      </w:r>
    </w:p>
    <w:p w:rsidR="00057DD6" w:rsidRPr="00057DD6" w:rsidRDefault="00057DD6">
      <w:pPr>
        <w:pStyle w:val="ConsPlusNormal"/>
        <w:jc w:val="right"/>
      </w:pPr>
      <w:r w:rsidRPr="00057DD6">
        <w:t>городского округа город Первомайск</w:t>
      </w:r>
    </w:p>
    <w:p w:rsidR="00057DD6" w:rsidRPr="00057DD6" w:rsidRDefault="00057DD6">
      <w:pPr>
        <w:pStyle w:val="ConsPlusNormal"/>
        <w:jc w:val="right"/>
      </w:pPr>
      <w:r w:rsidRPr="00057DD6">
        <w:t>Нижегородской области</w:t>
      </w:r>
    </w:p>
    <w:p w:rsidR="00057DD6" w:rsidRPr="00057DD6" w:rsidRDefault="00057DD6">
      <w:pPr>
        <w:pStyle w:val="ConsPlusNormal"/>
        <w:jc w:val="right"/>
      </w:pPr>
      <w:r w:rsidRPr="00057DD6">
        <w:t>от 10.10.2013 N 147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jc w:val="center"/>
      </w:pPr>
      <w:bookmarkStart w:id="2" w:name="P76"/>
      <w:bookmarkEnd w:id="2"/>
      <w:r w:rsidRPr="00057DD6">
        <w:t>ЗНАЧЕНИЯ КОРРЕКТИРУЮЩЕГО КОЭФФИЦИЕНТА К</w:t>
      </w:r>
      <w:proofErr w:type="gramStart"/>
      <w:r w:rsidRPr="00057DD6">
        <w:t>2</w:t>
      </w:r>
      <w:proofErr w:type="gramEnd"/>
      <w:r w:rsidRPr="00057DD6">
        <w:t>,</w:t>
      </w:r>
    </w:p>
    <w:p w:rsidR="00057DD6" w:rsidRPr="00057DD6" w:rsidRDefault="00057DD6">
      <w:pPr>
        <w:pStyle w:val="ConsPlusTitle"/>
        <w:jc w:val="center"/>
      </w:pPr>
      <w:r w:rsidRPr="00057DD6">
        <w:t xml:space="preserve">ПРИМЕНЯЕМОГО ДЛЯ РАСЧЕТА СУММЫ ЕДИНОГО НАЛОГА НА </w:t>
      </w:r>
      <w:proofErr w:type="gramStart"/>
      <w:r w:rsidRPr="00057DD6">
        <w:t>ВМЕНЕННЫЙ</w:t>
      </w:r>
      <w:proofErr w:type="gramEnd"/>
    </w:p>
    <w:p w:rsidR="00057DD6" w:rsidRPr="00057DD6" w:rsidRDefault="00057DD6">
      <w:pPr>
        <w:pStyle w:val="ConsPlusTitle"/>
        <w:jc w:val="center"/>
      </w:pPr>
      <w:r w:rsidRPr="00057DD6">
        <w:t>ДОХОД ДЛЯ ОТДЕЛЬНЫХ ВИДОВ ДЕЯТЕЛЬНОСТИ НА ТЕРРИТОРИИ</w:t>
      </w:r>
    </w:p>
    <w:p w:rsidR="00057DD6" w:rsidRPr="00057DD6" w:rsidRDefault="00057DD6">
      <w:pPr>
        <w:pStyle w:val="ConsPlusTitle"/>
        <w:jc w:val="center"/>
      </w:pPr>
      <w:r w:rsidRPr="00057DD6">
        <w:t>ГОРОДСКОГО ОКРУГА ГОРОД ПЕРВОМАЙСК НИЖЕГОРОДСКОЙ ОБЛАСТИ</w:t>
      </w:r>
    </w:p>
    <w:p w:rsidR="00057DD6" w:rsidRPr="00057DD6" w:rsidRDefault="00057DD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57DD6" w:rsidRPr="00057DD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7DD6" w:rsidRPr="00057DD6" w:rsidRDefault="00057DD6">
            <w:pPr>
              <w:pStyle w:val="ConsPlusNormal"/>
              <w:jc w:val="center"/>
            </w:pPr>
            <w:r w:rsidRPr="00057DD6">
              <w:t>Список изменяющих документов</w:t>
            </w:r>
          </w:p>
          <w:p w:rsidR="00057DD6" w:rsidRPr="00057DD6" w:rsidRDefault="00057DD6">
            <w:pPr>
              <w:pStyle w:val="ConsPlusNormal"/>
              <w:jc w:val="center"/>
            </w:pPr>
            <w:proofErr w:type="gramStart"/>
            <w:r w:rsidRPr="00057DD6">
              <w:t xml:space="preserve">(в ред. </w:t>
            </w:r>
            <w:hyperlink r:id="rId15" w:history="1">
              <w:r w:rsidRPr="00057DD6">
                <w:t>решения</w:t>
              </w:r>
            </w:hyperlink>
            <w:r w:rsidRPr="00057DD6">
              <w:t xml:space="preserve"> городской Думы городского округа г. Первомайск Нижегородской</w:t>
            </w:r>
            <w:proofErr w:type="gramEnd"/>
          </w:p>
          <w:p w:rsidR="00057DD6" w:rsidRPr="00057DD6" w:rsidRDefault="00057DD6">
            <w:pPr>
              <w:pStyle w:val="ConsPlusNormal"/>
              <w:jc w:val="center"/>
            </w:pPr>
            <w:r w:rsidRPr="00057DD6">
              <w:t>области от 26.09.2019 N 191)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1. Оказание бытовых услуг</w:t>
      </w: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2"/>
      </w:pPr>
      <w:r w:rsidRPr="00057DD6">
        <w:t>1) Услуги бань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0,016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2"/>
      </w:pPr>
      <w:r w:rsidRPr="00057DD6">
        <w:t>2) Ритуальные услуги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2"/>
      </w:pPr>
      <w:r w:rsidRPr="00057DD6">
        <w:t>3) Прочие виды бытовых услуг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0,701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2. Оказание ветеринарных услуг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3. Оказание услуг по ремонту, техническому обслуживанию и мойке автомототранспортных средств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0,701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5. Оказание автотранспортных услуг по перевозке грузов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6. Оказание автотранспортных услуг по перевозке пассажиров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/>
        </w:tc>
        <w:tc>
          <w:tcPr>
            <w:tcW w:w="6406" w:type="dxa"/>
            <w:tcBorders>
              <w:top w:val="nil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1.1. Услуги легковых такси и автотранспорта с количеством посадочных мест до 20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  <w:tr w:rsidR="00057DD6" w:rsidRPr="00057DD6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/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1.2. Услуги автотранспорта с количеством посадочных мест более 20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0,026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7. Розничная торговля, осуществляемая через объекты стационарной торговой сети, имеющие торговые залы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Населенный пункт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 Первомайск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павильоны с торговой площадью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До 30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30 до 50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50 до 70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0,622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70 до 100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0,439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100 до 150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0,229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1.2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proofErr w:type="gramStart"/>
            <w:r w:rsidRPr="00057DD6">
              <w:t>Магазины, расположенные на ул. Гагарина, ул. Садовая, ул. Борискина, торговой площадью до 100 кв. м включительно</w:t>
            </w:r>
            <w:proofErr w:type="gramEnd"/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0,108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1.3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Магазины, расположенные на ул. Пролетарская, ул. Астраханцева, торговой площадью до 100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0,535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1.4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Магазины с торговой площадью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До 30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30 до 50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0,866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50 до 70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70 до 100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0,381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</w:pP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100 до 150 кв. м включительно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0,190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2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Село </w:t>
            </w:r>
            <w:proofErr w:type="gramStart"/>
            <w:r w:rsidRPr="00057DD6">
              <w:t>Большой</w:t>
            </w:r>
            <w:proofErr w:type="gramEnd"/>
            <w:r w:rsidRPr="00057DD6">
              <w:t xml:space="preserve"> Макателем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2.1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100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100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0,086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3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Худошино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3.1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4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Поселок Кавказского лесничества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4.1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5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Малый Макателем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5.1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35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35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6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Успенское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>6.1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7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Сельский поселок Рогожинский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7.1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8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Лапша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8.1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9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Кошелиха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9.1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60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60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10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Сельский поселок Лесозавода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10.1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Сельский поселок Берещино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11.1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12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Рабочий поселок Сатис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12.1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13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Шутилово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13.1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100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100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0,086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14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Обухово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14.1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30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30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15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Деревня Петровка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15.1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16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Деревня Каналгуши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16.1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17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Николаевка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17.1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50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50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>18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Сельский поселок Пески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18.1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19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Село Нелей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  <w:vMerge w:val="restart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19.1</w:t>
            </w:r>
          </w:p>
        </w:tc>
        <w:tc>
          <w:tcPr>
            <w:tcW w:w="6406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 с торговой площадью до 40 кв. м</w:t>
            </w:r>
          </w:p>
        </w:tc>
        <w:tc>
          <w:tcPr>
            <w:tcW w:w="1984" w:type="dxa"/>
            <w:tcBorders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  <w:tr w:rsidR="00057DD6" w:rsidRPr="00057DD6">
        <w:tc>
          <w:tcPr>
            <w:tcW w:w="624" w:type="dxa"/>
            <w:vMerge/>
          </w:tcPr>
          <w:p w:rsidR="00057DD6" w:rsidRPr="00057DD6" w:rsidRDefault="00057DD6"/>
        </w:tc>
        <w:tc>
          <w:tcPr>
            <w:tcW w:w="6406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Свыше 40 кв. м</w:t>
            </w:r>
          </w:p>
        </w:tc>
        <w:tc>
          <w:tcPr>
            <w:tcW w:w="1984" w:type="dxa"/>
            <w:tcBorders>
              <w:top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20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Деревня Елховка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20.1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Торговые точки (магазины, павильоны)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0,019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21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Прочие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N</w:t>
            </w:r>
          </w:p>
          <w:p w:rsidR="00057DD6" w:rsidRPr="00057DD6" w:rsidRDefault="00057DD6">
            <w:pPr>
              <w:pStyle w:val="ConsPlusNormal"/>
              <w:jc w:val="both"/>
            </w:pP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  <w:r w:rsidRPr="00057DD6">
              <w:t>=Крр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Крр - коэффициент, учитывающий режим работы</w:t>
            </w:r>
          </w:p>
          <w:p w:rsidR="00057DD6" w:rsidRPr="00057DD6" w:rsidRDefault="00057DD6">
            <w:pPr>
              <w:pStyle w:val="ConsPlusNormal"/>
            </w:pPr>
          </w:p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Для </w:t>
            </w:r>
            <w:proofErr w:type="gramStart"/>
            <w:r w:rsidRPr="00057DD6">
              <w:t>работающих</w:t>
            </w:r>
            <w:proofErr w:type="gramEnd"/>
            <w:r w:rsidRPr="00057DD6">
              <w:t xml:space="preserve"> полный календарный месяц - 1,0</w:t>
            </w:r>
          </w:p>
          <w:p w:rsidR="00057DD6" w:rsidRPr="00057DD6" w:rsidRDefault="00057DD6">
            <w:pPr>
              <w:pStyle w:val="ConsPlusNormal"/>
            </w:pPr>
          </w:p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Для </w:t>
            </w:r>
            <w:proofErr w:type="gramStart"/>
            <w:r w:rsidRPr="00057DD6">
              <w:t>работающих</w:t>
            </w:r>
            <w:proofErr w:type="gramEnd"/>
            <w:r w:rsidRPr="00057DD6">
              <w:t xml:space="preserve"> неполный календарный месяц - 0,938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N</w:t>
            </w:r>
          </w:p>
          <w:p w:rsidR="00057DD6" w:rsidRPr="00057DD6" w:rsidRDefault="00057DD6">
            <w:pPr>
              <w:pStyle w:val="ConsPlusNormal"/>
              <w:jc w:val="both"/>
            </w:pP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  <w:r w:rsidRPr="00057DD6">
              <w:t>=Крр</w:t>
            </w:r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Крр - коэффициент, учитывающий режим работы</w:t>
            </w:r>
          </w:p>
          <w:p w:rsidR="00057DD6" w:rsidRPr="00057DD6" w:rsidRDefault="00057DD6">
            <w:pPr>
              <w:pStyle w:val="ConsPlusNormal"/>
            </w:pPr>
          </w:p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Для </w:t>
            </w:r>
            <w:proofErr w:type="gramStart"/>
            <w:r w:rsidRPr="00057DD6">
              <w:t>работающих</w:t>
            </w:r>
            <w:proofErr w:type="gramEnd"/>
            <w:r w:rsidRPr="00057DD6">
              <w:t xml:space="preserve"> полный </w:t>
            </w:r>
            <w:r w:rsidRPr="00057DD6">
              <w:lastRenderedPageBreak/>
              <w:t>календарный месяц - 1,0</w:t>
            </w:r>
          </w:p>
          <w:p w:rsidR="00057DD6" w:rsidRPr="00057DD6" w:rsidRDefault="00057DD6">
            <w:pPr>
              <w:pStyle w:val="ConsPlusNormal"/>
            </w:pPr>
          </w:p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Для </w:t>
            </w:r>
            <w:proofErr w:type="gramStart"/>
            <w:r w:rsidRPr="00057DD6">
              <w:t>работающих</w:t>
            </w:r>
            <w:proofErr w:type="gramEnd"/>
            <w:r w:rsidRPr="00057DD6">
              <w:t xml:space="preserve"> неполный календарный месяц - 0,725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10. Развозная и разносная розничная торговля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0,427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11. Реализация товаров с использованием торговых автоматов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области: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1,0</w:t>
            </w:r>
          </w:p>
        </w:tc>
      </w:tr>
      <w:tr w:rsidR="00057DD6" w:rsidRPr="00057DD6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/>
        </w:tc>
        <w:tc>
          <w:tcPr>
            <w:tcW w:w="6406" w:type="dxa"/>
            <w:tcBorders>
              <w:top w:val="nil"/>
              <w:bottom w:val="nil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1.1. Реализация продовольственных товаров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DD6" w:rsidRPr="00057DD6" w:rsidRDefault="00057DD6">
            <w:pPr>
              <w:pStyle w:val="ConsPlusNormal"/>
            </w:pPr>
          </w:p>
        </w:tc>
      </w:tr>
      <w:tr w:rsidR="00057DD6" w:rsidRPr="00057DD6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7DD6" w:rsidRPr="00057DD6" w:rsidRDefault="00057DD6"/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1.2. Реализация непродовольственных товаров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0,676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12. Оказание услуг общественного питания через объект организации общественного питания, имеющий зал обслуживания посетителей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области, столовые прочие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0,178</w:t>
            </w:r>
          </w:p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13. Оказание услуг общественного питания через объект организации общественного питания, не имеющий зала обслуживания посетителей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14.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0,701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15. Распространение наружной рекламы с использованием рекламных конструкций с автоматической сменой изображения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 xml:space="preserve">16. Распространение </w:t>
      </w:r>
      <w:proofErr w:type="gramStart"/>
      <w:r w:rsidRPr="00057DD6">
        <w:t>наружной</w:t>
      </w:r>
      <w:proofErr w:type="gramEnd"/>
      <w:r w:rsidRPr="00057DD6">
        <w:t xml:space="preserve"> посредством электронных табло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0,522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17. Размещение рекламы с использованием внешних и внутренних поверхностей транспортных средств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0,701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18. Оказание услуг по временному размещению и проживанию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0,427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0,357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Title"/>
        <w:ind w:firstLine="540"/>
        <w:jc w:val="both"/>
        <w:outlineLvl w:val="1"/>
      </w:pPr>
      <w:r w:rsidRPr="00057DD6">
        <w:t>20.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</w:r>
    </w:p>
    <w:p w:rsidR="00057DD6" w:rsidRPr="00057DD6" w:rsidRDefault="00057DD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06"/>
        <w:gridCol w:w="1984"/>
      </w:tblGrid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lastRenderedPageBreak/>
              <w:t xml:space="preserve">N </w:t>
            </w:r>
            <w:proofErr w:type="gramStart"/>
            <w:r w:rsidRPr="00057DD6">
              <w:t>п</w:t>
            </w:r>
            <w:proofErr w:type="gramEnd"/>
            <w:r w:rsidRPr="00057DD6">
              <w:t>/п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Муниципальное образование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Значение коэффициента К</w:t>
            </w:r>
            <w:proofErr w:type="gramStart"/>
            <w:r w:rsidRPr="00057DD6">
              <w:t>2</w:t>
            </w:r>
            <w:proofErr w:type="gramEnd"/>
          </w:p>
        </w:tc>
      </w:tr>
      <w:tr w:rsidR="00057DD6" w:rsidRPr="00057DD6">
        <w:tc>
          <w:tcPr>
            <w:tcW w:w="62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1</w:t>
            </w:r>
          </w:p>
        </w:tc>
        <w:tc>
          <w:tcPr>
            <w:tcW w:w="6406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Городской округ город Первомайск Нижегородской области</w:t>
            </w:r>
          </w:p>
        </w:tc>
        <w:tc>
          <w:tcPr>
            <w:tcW w:w="1984" w:type="dxa"/>
          </w:tcPr>
          <w:p w:rsidR="00057DD6" w:rsidRPr="00057DD6" w:rsidRDefault="00057DD6">
            <w:pPr>
              <w:pStyle w:val="ConsPlusNormal"/>
              <w:jc w:val="both"/>
            </w:pPr>
            <w:r w:rsidRPr="00057DD6">
              <w:t>0,320</w:t>
            </w:r>
          </w:p>
        </w:tc>
      </w:tr>
    </w:tbl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ind w:firstLine="540"/>
        <w:jc w:val="both"/>
      </w:pPr>
    </w:p>
    <w:p w:rsidR="00057DD6" w:rsidRPr="00057DD6" w:rsidRDefault="00057D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057DD6"/>
    <w:sectPr w:rsidR="00E271CC" w:rsidSect="0095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D6"/>
    <w:rsid w:val="00057DD6"/>
    <w:rsid w:val="00303A72"/>
    <w:rsid w:val="00407DE8"/>
    <w:rsid w:val="004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DD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DD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DD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DD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7DD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7DD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77A2CBAE58A9D36BF9F80EC541088669AE7703613685138B95877CE033F53DACFEC2FA54A21655A35CFB46B3F29E70815585AD4E3C47C8430FC8AZAj9K" TargetMode="External"/><Relationship Id="rId13" Type="http://schemas.openxmlformats.org/officeDocument/2006/relationships/hyperlink" Target="consultantplus://offline/ref=8BA77A2CBAE58A9D36BF9F80EC541088669AE77036136D503DBB5877CE033F53DACFEC2FA54A21655A35CFB46B3F29E70815585AD4E3C47C8430FC8AZAj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A77A2CBAE58A9D36BF9F80EC541088669AE770361060593FB75877CE033F53DACFEC2FA54A21655A35CFB46B3F29E70815585AD4E3C47C8430FC8AZAj9K" TargetMode="External"/><Relationship Id="rId12" Type="http://schemas.openxmlformats.org/officeDocument/2006/relationships/hyperlink" Target="consultantplus://offline/ref=8BA77A2CBAE58A9D36BF818DFA384F8D6295BB7E3115620F66EA5E20915339069A8FEA7AE00E2A6F0E648BE163367AA84C424B5AD3FFZCj4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A77A2CBAE58A9D36BF9F80EC541088669AE77036166B5933B75877CE033F53DACFEC2FA54A21655A35CFB46B3F29E70815585AD4E3C47C8430FC8AZAj9K" TargetMode="External"/><Relationship Id="rId11" Type="http://schemas.openxmlformats.org/officeDocument/2006/relationships/hyperlink" Target="consultantplus://offline/ref=8BA77A2CBAE58A9D36BF9F80EC541088669AE77035146D5E39BE5877CE033F53DACFEC2FA54A21655A35CFB46B3F29E70815585AD4E3C47C8430FC8AZAj9K" TargetMode="External"/><Relationship Id="rId5" Type="http://schemas.openxmlformats.org/officeDocument/2006/relationships/hyperlink" Target="consultantplus://offline/ref=8BA77A2CBAE58A9D36BF9F80EC541088669AE77036156D513FBA5877CE033F53DACFEC2FA54A21655A35CFB46B3F29E70815585AD4E3C47C8430FC8AZAj9K" TargetMode="External"/><Relationship Id="rId15" Type="http://schemas.openxmlformats.org/officeDocument/2006/relationships/hyperlink" Target="consultantplus://offline/ref=8BA77A2CBAE58A9D36BF9F80EC541088669AE77035146D5E39BE5877CE033F53DACFEC2FA54A21655A35CFB46B3F29E70815585AD4E3C47C8430FC8AZAj9K" TargetMode="External"/><Relationship Id="rId10" Type="http://schemas.openxmlformats.org/officeDocument/2006/relationships/hyperlink" Target="consultantplus://offline/ref=8BA77A2CBAE58A9D36BF9F80EC541088669AE770361C6A5838BC5877CE033F53DACFEC2FA54A21655A35CFB46B3F29E70815585AD4E3C47C8430FC8AZAj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A77A2CBAE58A9D36BF9F80EC541088669AE77036136D503DBB5877CE033F53DACFEC2FA54A21655A35CFB46B3F29E70815585AD4E3C47C8430FC8AZAj9K" TargetMode="External"/><Relationship Id="rId14" Type="http://schemas.openxmlformats.org/officeDocument/2006/relationships/hyperlink" Target="consultantplus://offline/ref=8BA77A2CBAE58A9D36BF9F80EC541088669AE77036136D503DBB5877CE033F53DACFEC2FA54A21655A35CFB46B3F29E70815585AD4E3C47C8430FC8AZAj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2020-02-27T10:35:00Z</dcterms:created>
  <dcterms:modified xsi:type="dcterms:W3CDTF">2020-02-27T10:36:00Z</dcterms:modified>
</cp:coreProperties>
</file>